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7CAE" w14:textId="77777777" w:rsidR="0069596C" w:rsidRDefault="0069596C" w:rsidP="0069596C">
      <w:pPr>
        <w:jc w:val="center"/>
        <w:rPr>
          <w:rFonts w:ascii="Greyhound" w:hAnsi="Greyhound"/>
          <w:b/>
          <w:bCs/>
          <w:sz w:val="20"/>
          <w:szCs w:val="20"/>
        </w:rPr>
      </w:pPr>
      <w:r w:rsidRPr="004529A8">
        <w:rPr>
          <w:rFonts w:ascii="Greyhound" w:hAnsi="Greyhound"/>
          <w:b/>
          <w:bCs/>
          <w:sz w:val="20"/>
          <w:szCs w:val="20"/>
        </w:rPr>
        <w:t>Special Track on</w:t>
      </w:r>
    </w:p>
    <w:p w14:paraId="2A181C1E" w14:textId="075EAFB8" w:rsidR="0069596C" w:rsidRDefault="006B460F" w:rsidP="0069596C">
      <w:pPr>
        <w:jc w:val="center"/>
        <w:rPr>
          <w:rFonts w:ascii="Greyhound" w:hAnsi="Greyhound"/>
          <w:b/>
          <w:bCs/>
          <w:sz w:val="22"/>
          <w:szCs w:val="22"/>
        </w:rPr>
      </w:pPr>
      <w:r w:rsidRPr="006B460F">
        <w:rPr>
          <w:rFonts w:ascii="Greyhound" w:hAnsi="Greyhound"/>
          <w:b/>
          <w:bCs/>
          <w:sz w:val="22"/>
          <w:szCs w:val="22"/>
        </w:rPr>
        <w:t xml:space="preserve">RISK MANAGEMENT AND CYBER-INFORMATICS: RMCI </w:t>
      </w:r>
      <w:r w:rsidR="0069596C">
        <w:rPr>
          <w:rFonts w:ascii="Greyhound" w:hAnsi="Greyhound"/>
          <w:b/>
          <w:bCs/>
          <w:sz w:val="22"/>
          <w:szCs w:val="22"/>
        </w:rPr>
        <w:t>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B9544BC" w:rsidR="0069596C" w:rsidRPr="0025446E" w:rsidRDefault="0069596C" w:rsidP="0069596C">
      <w:pPr>
        <w:jc w:val="center"/>
        <w:rPr>
          <w:rFonts w:ascii="Greyhound" w:hAnsi="Greyhound"/>
          <w:b/>
          <w:bCs/>
          <w:sz w:val="20"/>
          <w:szCs w:val="20"/>
        </w:rPr>
      </w:pPr>
      <w:r w:rsidRPr="0025446E">
        <w:rPr>
          <w:rFonts w:ascii="Greyhound" w:hAnsi="Greyhound"/>
          <w:b/>
          <w:bCs/>
          <w:sz w:val="20"/>
          <w:szCs w:val="20"/>
        </w:rPr>
        <w:t>2</w:t>
      </w:r>
      <w:r>
        <w:rPr>
          <w:rFonts w:ascii="Greyhound" w:hAnsi="Greyhound"/>
          <w:b/>
          <w:bCs/>
          <w:sz w:val="20"/>
          <w:szCs w:val="20"/>
        </w:rPr>
        <w:t>9</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w:t>
      </w:r>
      <w:r>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5413E0" w:rsidRDefault="00F71237" w:rsidP="001C7DB5">
      <w:pPr>
        <w:jc w:val="center"/>
        <w:rPr>
          <w:i/>
          <w:iCs/>
          <w:sz w:val="18"/>
          <w:szCs w:val="18"/>
        </w:rPr>
      </w:pPr>
      <w:r w:rsidRPr="005413E0">
        <w:rPr>
          <w:i/>
          <w:iCs/>
          <w:sz w:val="18"/>
          <w:szCs w:val="18"/>
        </w:rPr>
        <w:t>September 9</w:t>
      </w:r>
      <w:r w:rsidR="001C7DB5" w:rsidRPr="005413E0">
        <w:rPr>
          <w:i/>
          <w:iCs/>
          <w:sz w:val="18"/>
          <w:szCs w:val="18"/>
        </w:rPr>
        <w:t xml:space="preserve">  - </w:t>
      </w:r>
      <w:r w:rsidRPr="005413E0">
        <w:rPr>
          <w:i/>
          <w:iCs/>
          <w:sz w:val="18"/>
          <w:szCs w:val="18"/>
        </w:rPr>
        <w:t>12</w:t>
      </w:r>
      <w:r w:rsidR="001C7DB5" w:rsidRPr="005413E0">
        <w:rPr>
          <w:i/>
          <w:iCs/>
          <w:sz w:val="18"/>
          <w:szCs w:val="18"/>
        </w:rPr>
        <w:t>, 202</w:t>
      </w:r>
      <w:r w:rsidR="00FD37DE" w:rsidRPr="005413E0">
        <w:rPr>
          <w:i/>
          <w:iCs/>
          <w:sz w:val="18"/>
          <w:szCs w:val="18"/>
        </w:rPr>
        <w:t>5</w:t>
      </w:r>
      <w:r w:rsidR="001C7DB5" w:rsidRPr="005413E0">
        <w:rPr>
          <w:i/>
          <w:iCs/>
          <w:sz w:val="18"/>
          <w:szCs w:val="18"/>
        </w:rPr>
        <w:t xml:space="preserve">  ~  Orlando, Florida, U.S.A.</w:t>
      </w:r>
    </w:p>
    <w:p w14:paraId="7F4EBB16" w14:textId="77777777" w:rsidR="004C6167" w:rsidRPr="005413E0" w:rsidRDefault="004C6167" w:rsidP="004C6167">
      <w:pPr>
        <w:rPr>
          <w:sz w:val="16"/>
          <w:szCs w:val="20"/>
        </w:rPr>
      </w:pPr>
    </w:p>
    <w:p w14:paraId="6B16C1C2" w14:textId="77777777" w:rsidR="001C7DB5" w:rsidRPr="005413E0"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44F8B72C"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5413E0">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33352256"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6B460F">
        <w:rPr>
          <w:rFonts w:ascii="Times New Roman" w:hAnsi="Times New Roman" w:cs="Times New Roman"/>
          <w:b/>
          <w:bCs/>
          <w:sz w:val="28"/>
          <w:szCs w:val="28"/>
        </w:rPr>
        <w:t>RMCI</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39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13E0"/>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B460F"/>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92E74"/>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2025-02-13T23:55:00Z</dcterms:created>
  <dcterms:modified xsi:type="dcterms:W3CDTF">2025-03-19T14:56:00Z</dcterms:modified>
</cp:coreProperties>
</file>